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35409" w14:textId="77777777" w:rsidR="004D17D0" w:rsidRDefault="00000000">
      <w:pPr>
        <w:jc w:val="center"/>
      </w:pPr>
      <w:r>
        <w:rPr>
          <w:b/>
          <w:sz w:val="36"/>
        </w:rPr>
        <w:t>AECT Competency &amp; Artifact Matrix</w:t>
      </w:r>
    </w:p>
    <w:p w14:paraId="7EBBB5D5" w14:textId="77777777" w:rsidR="004D17D0" w:rsidRDefault="00000000">
      <w:pPr>
        <w:jc w:val="center"/>
      </w:pPr>
      <w:r>
        <w:rPr>
          <w:i/>
          <w:sz w:val="19"/>
        </w:rPr>
        <w:t>LSTE Capstone Portfolio | Examination Committee Review</w:t>
      </w:r>
    </w:p>
    <w:p w14:paraId="023BA10C" w14:textId="77777777" w:rsidR="004D17D0" w:rsidRDefault="00000000">
      <w:pPr>
        <w:spacing w:after="160"/>
        <w:jc w:val="center"/>
      </w:pPr>
      <w:r>
        <w:t>This matrix provides evidence of competency across the AECT standards through selected portfolio artifacts. In the final Wix version, each artifact title should link directly to the corresponding portfolio evidence.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24"/>
        <w:gridCol w:w="2520"/>
        <w:gridCol w:w="2520"/>
        <w:gridCol w:w="2520"/>
        <w:gridCol w:w="2664"/>
        <w:gridCol w:w="2520"/>
      </w:tblGrid>
      <w:tr w:rsidR="004D17D0" w14:paraId="612050E8" w14:textId="77777777">
        <w:trPr>
          <w:tblHeader/>
          <w:jc w:val="center"/>
        </w:trPr>
        <w:tc>
          <w:tcPr>
            <w:tcW w:w="2424" w:type="dxa"/>
            <w:shd w:val="clear" w:color="auto" w:fill="E7E6E6"/>
            <w:vAlign w:val="center"/>
          </w:tcPr>
          <w:p w14:paraId="449DF5CB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Indicator</w:t>
            </w:r>
          </w:p>
        </w:tc>
        <w:tc>
          <w:tcPr>
            <w:tcW w:w="2424" w:type="dxa"/>
            <w:shd w:val="clear" w:color="auto" w:fill="E7E6E6"/>
            <w:vAlign w:val="center"/>
          </w:tcPr>
          <w:p w14:paraId="7AEB3B92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Standard 1</w:t>
            </w:r>
            <w:r>
              <w:rPr>
                <w:b/>
                <w:sz w:val="14"/>
              </w:rPr>
              <w:br/>
            </w:r>
            <w:r>
              <w:rPr>
                <w:sz w:val="14"/>
              </w:rPr>
              <w:t>Content Knowledge</w:t>
            </w:r>
          </w:p>
        </w:tc>
        <w:tc>
          <w:tcPr>
            <w:tcW w:w="2424" w:type="dxa"/>
            <w:shd w:val="clear" w:color="auto" w:fill="E7E6E6"/>
            <w:vAlign w:val="center"/>
          </w:tcPr>
          <w:p w14:paraId="2D59442E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Standard 2</w:t>
            </w:r>
            <w:r>
              <w:rPr>
                <w:b/>
                <w:sz w:val="14"/>
              </w:rPr>
              <w:br/>
            </w:r>
            <w:r>
              <w:rPr>
                <w:sz w:val="14"/>
              </w:rPr>
              <w:t>Content Pedagogy</w:t>
            </w:r>
          </w:p>
        </w:tc>
        <w:tc>
          <w:tcPr>
            <w:tcW w:w="2424" w:type="dxa"/>
            <w:shd w:val="clear" w:color="auto" w:fill="E7E6E6"/>
            <w:vAlign w:val="center"/>
          </w:tcPr>
          <w:p w14:paraId="54996104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Standard 3</w:t>
            </w:r>
            <w:r>
              <w:rPr>
                <w:b/>
                <w:sz w:val="14"/>
              </w:rPr>
              <w:br/>
            </w:r>
            <w:r>
              <w:rPr>
                <w:sz w:val="14"/>
              </w:rPr>
              <w:t>Learning Environments</w:t>
            </w:r>
          </w:p>
        </w:tc>
        <w:tc>
          <w:tcPr>
            <w:tcW w:w="2424" w:type="dxa"/>
            <w:shd w:val="clear" w:color="auto" w:fill="E7E6E6"/>
            <w:vAlign w:val="center"/>
          </w:tcPr>
          <w:p w14:paraId="1B2BBB29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Standard 4</w:t>
            </w:r>
            <w:r>
              <w:rPr>
                <w:b/>
                <w:sz w:val="14"/>
              </w:rPr>
              <w:br/>
            </w:r>
            <w:r>
              <w:rPr>
                <w:sz w:val="14"/>
              </w:rPr>
              <w:t>Professional Knowledge &amp; Skills</w:t>
            </w:r>
          </w:p>
        </w:tc>
        <w:tc>
          <w:tcPr>
            <w:tcW w:w="2424" w:type="dxa"/>
            <w:shd w:val="clear" w:color="auto" w:fill="E7E6E6"/>
            <w:vAlign w:val="center"/>
          </w:tcPr>
          <w:p w14:paraId="77B7CC2A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Standard 5</w:t>
            </w:r>
            <w:r>
              <w:rPr>
                <w:b/>
                <w:sz w:val="14"/>
              </w:rPr>
              <w:br/>
            </w:r>
            <w:r>
              <w:rPr>
                <w:sz w:val="14"/>
              </w:rPr>
              <w:t>Research</w:t>
            </w:r>
          </w:p>
        </w:tc>
      </w:tr>
      <w:tr w:rsidR="004D17D0" w14:paraId="3117C23C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2FCCB278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Creating</w:t>
            </w:r>
          </w:p>
        </w:tc>
        <w:tc>
          <w:tcPr>
            <w:tcW w:w="2520" w:type="dxa"/>
            <w:vAlign w:val="center"/>
          </w:tcPr>
          <w:p w14:paraId="5AE7656E" w14:textId="77777777" w:rsidR="004D17D0" w:rsidRDefault="00000000">
            <w:pPr>
              <w:jc w:val="center"/>
            </w:pPr>
            <w:r>
              <w:rPr>
                <w:sz w:val="14"/>
              </w:rPr>
              <w:t>Pink Collar Learning Co. / Molly Mix Media Message</w:t>
            </w:r>
            <w:r>
              <w:rPr>
                <w:sz w:val="14"/>
              </w:rPr>
              <w:br/>
              <w:t>LSTE 71303</w:t>
            </w:r>
          </w:p>
        </w:tc>
        <w:tc>
          <w:tcPr>
            <w:tcW w:w="2520" w:type="dxa"/>
            <w:vAlign w:val="center"/>
          </w:tcPr>
          <w:p w14:paraId="7A2B23DE" w14:textId="77777777" w:rsidR="004D17D0" w:rsidRDefault="00000000">
            <w:pPr>
              <w:jc w:val="center"/>
            </w:pPr>
            <w:r>
              <w:rPr>
                <w:sz w:val="14"/>
              </w:rPr>
              <w:t>Freshman 101 Google Classroom</w:t>
            </w:r>
            <w:r>
              <w:rPr>
                <w:sz w:val="14"/>
              </w:rPr>
              <w:br/>
              <w:t>LSTE 71103</w:t>
            </w:r>
          </w:p>
        </w:tc>
        <w:tc>
          <w:tcPr>
            <w:tcW w:w="2520" w:type="dxa"/>
            <w:vAlign w:val="center"/>
          </w:tcPr>
          <w:p w14:paraId="640C05F7" w14:textId="77777777" w:rsidR="004D17D0" w:rsidRDefault="00000000">
            <w:pPr>
              <w:jc w:val="center"/>
            </w:pPr>
            <w:r>
              <w:rPr>
                <w:sz w:val="14"/>
              </w:rPr>
              <w:t>Mobile Learning Experience Design</w:t>
            </w:r>
            <w:r>
              <w:rPr>
                <w:sz w:val="14"/>
              </w:rPr>
              <w:br/>
              <w:t>LSTE 71703</w:t>
            </w:r>
          </w:p>
        </w:tc>
        <w:tc>
          <w:tcPr>
            <w:tcW w:w="2664" w:type="dxa"/>
            <w:vAlign w:val="center"/>
          </w:tcPr>
          <w:p w14:paraId="3C4DBA69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0CF51448" w14:textId="77777777" w:rsidR="004D17D0" w:rsidRDefault="004D17D0">
            <w:pPr>
              <w:jc w:val="center"/>
            </w:pPr>
          </w:p>
        </w:tc>
      </w:tr>
      <w:tr w:rsidR="004D17D0" w14:paraId="5B0E9CA6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7783347C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Using</w:t>
            </w:r>
          </w:p>
        </w:tc>
        <w:tc>
          <w:tcPr>
            <w:tcW w:w="2520" w:type="dxa"/>
            <w:vAlign w:val="center"/>
          </w:tcPr>
          <w:p w14:paraId="7F817E31" w14:textId="77777777" w:rsidR="004D17D0" w:rsidRDefault="00000000">
            <w:pPr>
              <w:jc w:val="center"/>
            </w:pPr>
            <w:r>
              <w:rPr>
                <w:sz w:val="14"/>
              </w:rPr>
              <w:t>Media Perception &amp; Message Analysis</w:t>
            </w:r>
            <w:r>
              <w:rPr>
                <w:sz w:val="14"/>
              </w:rPr>
              <w:br/>
              <w:t>LSTE 71303</w:t>
            </w:r>
          </w:p>
        </w:tc>
        <w:tc>
          <w:tcPr>
            <w:tcW w:w="2520" w:type="dxa"/>
            <w:vAlign w:val="center"/>
          </w:tcPr>
          <w:p w14:paraId="25D31577" w14:textId="77777777" w:rsidR="004D17D0" w:rsidRDefault="00000000">
            <w:pPr>
              <w:jc w:val="center"/>
            </w:pPr>
            <w:r>
              <w:rPr>
                <w:sz w:val="14"/>
              </w:rPr>
              <w:t>ADDIE Model Blog Series</w:t>
            </w:r>
            <w:r>
              <w:rPr>
                <w:sz w:val="14"/>
              </w:rPr>
              <w:br/>
              <w:t>LSTE 71103</w:t>
            </w:r>
          </w:p>
        </w:tc>
        <w:tc>
          <w:tcPr>
            <w:tcW w:w="2520" w:type="dxa"/>
            <w:vAlign w:val="center"/>
          </w:tcPr>
          <w:p w14:paraId="2DEB2CDB" w14:textId="77777777" w:rsidR="004D17D0" w:rsidRDefault="00000000">
            <w:pPr>
              <w:jc w:val="center"/>
            </w:pPr>
            <w:r>
              <w:rPr>
                <w:sz w:val="14"/>
              </w:rPr>
              <w:t>Mobile Learning Experience Design</w:t>
            </w:r>
            <w:r>
              <w:rPr>
                <w:sz w:val="14"/>
              </w:rPr>
              <w:br/>
              <w:t>LSTE 71703</w:t>
            </w:r>
          </w:p>
        </w:tc>
        <w:tc>
          <w:tcPr>
            <w:tcW w:w="2664" w:type="dxa"/>
            <w:vAlign w:val="center"/>
          </w:tcPr>
          <w:p w14:paraId="322490FF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3FDB4C65" w14:textId="77777777" w:rsidR="004D17D0" w:rsidRDefault="004D17D0">
            <w:pPr>
              <w:jc w:val="center"/>
            </w:pPr>
          </w:p>
        </w:tc>
      </w:tr>
      <w:tr w:rsidR="004D17D0" w14:paraId="7F92CF54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5A9C83F7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Assessing / Evaluating</w:t>
            </w:r>
          </w:p>
        </w:tc>
        <w:tc>
          <w:tcPr>
            <w:tcW w:w="2520" w:type="dxa"/>
            <w:vAlign w:val="center"/>
          </w:tcPr>
          <w:p w14:paraId="417F77A4" w14:textId="77777777" w:rsidR="004D17D0" w:rsidRDefault="00000000">
            <w:pPr>
              <w:jc w:val="center"/>
            </w:pPr>
            <w:r>
              <w:rPr>
                <w:sz w:val="14"/>
              </w:rPr>
              <w:t>Molly Mix Assessment</w:t>
            </w:r>
            <w:r>
              <w:rPr>
                <w:sz w:val="14"/>
              </w:rPr>
              <w:br/>
              <w:t>EDFN 77003</w:t>
            </w:r>
          </w:p>
        </w:tc>
        <w:tc>
          <w:tcPr>
            <w:tcW w:w="2520" w:type="dxa"/>
            <w:vAlign w:val="center"/>
          </w:tcPr>
          <w:p w14:paraId="521DB168" w14:textId="77777777" w:rsidR="004D17D0" w:rsidRDefault="00000000">
            <w:pPr>
              <w:jc w:val="center"/>
            </w:pPr>
            <w:r>
              <w:rPr>
                <w:sz w:val="14"/>
              </w:rPr>
              <w:t>Molly Mix Assessment</w:t>
            </w:r>
            <w:r>
              <w:rPr>
                <w:sz w:val="14"/>
              </w:rPr>
              <w:br/>
              <w:t>EDFN 77003</w:t>
            </w:r>
          </w:p>
        </w:tc>
        <w:tc>
          <w:tcPr>
            <w:tcW w:w="2520" w:type="dxa"/>
            <w:vAlign w:val="center"/>
          </w:tcPr>
          <w:p w14:paraId="582BD306" w14:textId="77777777" w:rsidR="004D17D0" w:rsidRDefault="00000000">
            <w:pPr>
              <w:jc w:val="center"/>
            </w:pPr>
            <w:r>
              <w:rPr>
                <w:sz w:val="14"/>
              </w:rPr>
              <w:t>Freshman 101 Google Classroom</w:t>
            </w:r>
            <w:r>
              <w:rPr>
                <w:sz w:val="14"/>
              </w:rPr>
              <w:br/>
              <w:t>LSTE 71103</w:t>
            </w:r>
          </w:p>
        </w:tc>
        <w:tc>
          <w:tcPr>
            <w:tcW w:w="2664" w:type="dxa"/>
            <w:vAlign w:val="center"/>
          </w:tcPr>
          <w:p w14:paraId="244B6AC4" w14:textId="77777777" w:rsidR="004D17D0" w:rsidRDefault="00000000">
            <w:pPr>
              <w:jc w:val="center"/>
            </w:pPr>
            <w:r>
              <w:rPr>
                <w:sz w:val="14"/>
              </w:rPr>
              <w:t>Media Perception &amp; Message Analysis</w:t>
            </w:r>
            <w:r>
              <w:rPr>
                <w:sz w:val="14"/>
              </w:rPr>
              <w:br/>
              <w:t>LSTE 71303</w:t>
            </w:r>
          </w:p>
        </w:tc>
        <w:tc>
          <w:tcPr>
            <w:tcW w:w="2520" w:type="dxa"/>
            <w:vAlign w:val="center"/>
          </w:tcPr>
          <w:p w14:paraId="7C4BB605" w14:textId="77777777" w:rsidR="004D17D0" w:rsidRDefault="00000000">
            <w:pPr>
              <w:jc w:val="center"/>
            </w:pPr>
            <w:r>
              <w:rPr>
                <w:sz w:val="14"/>
              </w:rPr>
              <w:t>Evaluating Educational Research / Article Critique</w:t>
            </w:r>
            <w:r>
              <w:rPr>
                <w:sz w:val="14"/>
              </w:rPr>
              <w:br/>
              <w:t>EDFN 70303</w:t>
            </w:r>
          </w:p>
        </w:tc>
      </w:tr>
      <w:tr w:rsidR="004D17D0" w14:paraId="3E7A8CF3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3E28D0E9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Managing</w:t>
            </w:r>
          </w:p>
        </w:tc>
        <w:tc>
          <w:tcPr>
            <w:tcW w:w="2520" w:type="dxa"/>
            <w:vAlign w:val="center"/>
          </w:tcPr>
          <w:p w14:paraId="3EE35D2D" w14:textId="77777777" w:rsidR="004D17D0" w:rsidRDefault="00000000">
            <w:pPr>
              <w:jc w:val="center"/>
            </w:pPr>
            <w:r>
              <w:rPr>
                <w:sz w:val="14"/>
              </w:rPr>
              <w:t>ADDIE Model Blog Series</w:t>
            </w:r>
            <w:r>
              <w:rPr>
                <w:sz w:val="14"/>
              </w:rPr>
              <w:br/>
              <w:t>LSTE 71103</w:t>
            </w:r>
          </w:p>
        </w:tc>
        <w:tc>
          <w:tcPr>
            <w:tcW w:w="2520" w:type="dxa"/>
            <w:vAlign w:val="center"/>
          </w:tcPr>
          <w:p w14:paraId="337A5BB8" w14:textId="77777777" w:rsidR="004D17D0" w:rsidRDefault="00000000">
            <w:pPr>
              <w:jc w:val="center"/>
            </w:pPr>
            <w:r>
              <w:rPr>
                <w:sz w:val="14"/>
              </w:rPr>
              <w:t>Freshman 101 Google Classroom</w:t>
            </w:r>
            <w:r>
              <w:rPr>
                <w:sz w:val="14"/>
              </w:rPr>
              <w:br/>
              <w:t>LSTE 71103</w:t>
            </w:r>
          </w:p>
        </w:tc>
        <w:tc>
          <w:tcPr>
            <w:tcW w:w="2520" w:type="dxa"/>
            <w:vAlign w:val="center"/>
          </w:tcPr>
          <w:p w14:paraId="781D698C" w14:textId="77777777" w:rsidR="004D17D0" w:rsidRDefault="00000000">
            <w:pPr>
              <w:jc w:val="center"/>
            </w:pPr>
            <w:r>
              <w:rPr>
                <w:sz w:val="14"/>
              </w:rPr>
              <w:t>Freshman 101 Google Classroom</w:t>
            </w:r>
            <w:r>
              <w:rPr>
                <w:sz w:val="14"/>
              </w:rPr>
              <w:br/>
              <w:t>LSTE 71103</w:t>
            </w:r>
          </w:p>
        </w:tc>
        <w:tc>
          <w:tcPr>
            <w:tcW w:w="2664" w:type="dxa"/>
            <w:vAlign w:val="center"/>
          </w:tcPr>
          <w:p w14:paraId="1B67198C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5D4BC2BC" w14:textId="77777777" w:rsidR="004D17D0" w:rsidRDefault="004D17D0">
            <w:pPr>
              <w:jc w:val="center"/>
            </w:pPr>
          </w:p>
        </w:tc>
      </w:tr>
      <w:tr w:rsidR="004D17D0" w14:paraId="177FFF22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7E7E1A45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Ethics</w:t>
            </w:r>
          </w:p>
        </w:tc>
        <w:tc>
          <w:tcPr>
            <w:tcW w:w="2520" w:type="dxa"/>
            <w:vAlign w:val="center"/>
          </w:tcPr>
          <w:p w14:paraId="46C2BAA8" w14:textId="77777777" w:rsidR="004D17D0" w:rsidRDefault="00000000">
            <w:pPr>
              <w:jc w:val="center"/>
            </w:pPr>
            <w:r>
              <w:rPr>
                <w:sz w:val="14"/>
              </w:rPr>
              <w:t>Empathy in the Era of AI</w:t>
            </w:r>
            <w:r>
              <w:rPr>
                <w:sz w:val="14"/>
              </w:rPr>
              <w:br/>
              <w:t>LSTE 70303</w:t>
            </w:r>
          </w:p>
        </w:tc>
        <w:tc>
          <w:tcPr>
            <w:tcW w:w="2520" w:type="dxa"/>
            <w:vAlign w:val="center"/>
          </w:tcPr>
          <w:p w14:paraId="377FA6F5" w14:textId="77777777" w:rsidR="004D17D0" w:rsidRDefault="00000000">
            <w:pPr>
              <w:jc w:val="center"/>
            </w:pPr>
            <w:r>
              <w:rPr>
                <w:sz w:val="14"/>
              </w:rPr>
              <w:t>Empathy in the Era of AI</w:t>
            </w:r>
            <w:r>
              <w:rPr>
                <w:sz w:val="14"/>
              </w:rPr>
              <w:br/>
              <w:t>LSTE 70303</w:t>
            </w:r>
          </w:p>
        </w:tc>
        <w:tc>
          <w:tcPr>
            <w:tcW w:w="2520" w:type="dxa"/>
            <w:vAlign w:val="center"/>
          </w:tcPr>
          <w:p w14:paraId="3734DC5F" w14:textId="77777777" w:rsidR="004D17D0" w:rsidRDefault="00000000">
            <w:pPr>
              <w:jc w:val="center"/>
            </w:pPr>
            <w:r>
              <w:rPr>
                <w:sz w:val="14"/>
              </w:rPr>
              <w:t>Empathy in the Era of AI</w:t>
            </w:r>
            <w:r>
              <w:rPr>
                <w:sz w:val="14"/>
              </w:rPr>
              <w:br/>
              <w:t>LSTE 70303</w:t>
            </w:r>
          </w:p>
        </w:tc>
        <w:tc>
          <w:tcPr>
            <w:tcW w:w="2664" w:type="dxa"/>
            <w:vAlign w:val="center"/>
          </w:tcPr>
          <w:p w14:paraId="01F6FA6A" w14:textId="77777777" w:rsidR="004D17D0" w:rsidRDefault="00000000">
            <w:pPr>
              <w:jc w:val="center"/>
            </w:pPr>
            <w:r>
              <w:rPr>
                <w:sz w:val="14"/>
              </w:rPr>
              <w:t>Empathy in the Era of AI</w:t>
            </w:r>
            <w:r>
              <w:rPr>
                <w:sz w:val="14"/>
              </w:rPr>
              <w:br/>
              <w:t>LSTE 70303</w:t>
            </w:r>
          </w:p>
        </w:tc>
        <w:tc>
          <w:tcPr>
            <w:tcW w:w="2520" w:type="dxa"/>
            <w:vAlign w:val="center"/>
          </w:tcPr>
          <w:p w14:paraId="7AF15613" w14:textId="77777777" w:rsidR="004D17D0" w:rsidRDefault="00000000">
            <w:pPr>
              <w:jc w:val="center"/>
            </w:pPr>
            <w:r>
              <w:rPr>
                <w:sz w:val="14"/>
              </w:rPr>
              <w:t>Evaluating Educational Research / Article Critique</w:t>
            </w:r>
            <w:r>
              <w:rPr>
                <w:sz w:val="14"/>
              </w:rPr>
              <w:br/>
              <w:t>EDFN 70303</w:t>
            </w:r>
          </w:p>
        </w:tc>
      </w:tr>
      <w:tr w:rsidR="004D17D0" w14:paraId="75608F84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246B78DF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Diversity of Learners</w:t>
            </w:r>
          </w:p>
        </w:tc>
        <w:tc>
          <w:tcPr>
            <w:tcW w:w="2520" w:type="dxa"/>
            <w:vAlign w:val="center"/>
          </w:tcPr>
          <w:p w14:paraId="4A08BB5C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4C0882AD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D8A00E8" w14:textId="77777777" w:rsidR="004D17D0" w:rsidRDefault="00000000">
            <w:pPr>
              <w:jc w:val="center"/>
            </w:pPr>
            <w:r>
              <w:rPr>
                <w:sz w:val="14"/>
              </w:rPr>
              <w:t>Molly Mix Assessment</w:t>
            </w:r>
            <w:r>
              <w:rPr>
                <w:sz w:val="14"/>
              </w:rPr>
              <w:br/>
              <w:t>EDFN 77003</w:t>
            </w:r>
          </w:p>
        </w:tc>
        <w:tc>
          <w:tcPr>
            <w:tcW w:w="2664" w:type="dxa"/>
            <w:vAlign w:val="center"/>
          </w:tcPr>
          <w:p w14:paraId="3251D139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07D444D0" w14:textId="77777777" w:rsidR="004D17D0" w:rsidRDefault="004D17D0">
            <w:pPr>
              <w:jc w:val="center"/>
            </w:pPr>
          </w:p>
        </w:tc>
      </w:tr>
      <w:tr w:rsidR="004D17D0" w14:paraId="67C1D6BF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146E9E63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Collaborative Practice</w:t>
            </w:r>
          </w:p>
        </w:tc>
        <w:tc>
          <w:tcPr>
            <w:tcW w:w="2520" w:type="dxa"/>
            <w:vAlign w:val="center"/>
          </w:tcPr>
          <w:p w14:paraId="72BEF0F0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222E1123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5C543F69" w14:textId="77777777" w:rsidR="004D17D0" w:rsidRDefault="004D17D0">
            <w:pPr>
              <w:jc w:val="center"/>
            </w:pPr>
          </w:p>
        </w:tc>
        <w:tc>
          <w:tcPr>
            <w:tcW w:w="2664" w:type="dxa"/>
            <w:vAlign w:val="center"/>
          </w:tcPr>
          <w:p w14:paraId="271174DD" w14:textId="77777777" w:rsidR="004D17D0" w:rsidRDefault="00000000">
            <w:pPr>
              <w:jc w:val="center"/>
            </w:pPr>
            <w:r>
              <w:rPr>
                <w:sz w:val="14"/>
              </w:rPr>
              <w:t>Mobile Learning Interview Project</w:t>
            </w:r>
            <w:r>
              <w:rPr>
                <w:sz w:val="14"/>
              </w:rPr>
              <w:br/>
              <w:t>LSTE 71703</w:t>
            </w:r>
          </w:p>
        </w:tc>
        <w:tc>
          <w:tcPr>
            <w:tcW w:w="2520" w:type="dxa"/>
            <w:vAlign w:val="center"/>
          </w:tcPr>
          <w:p w14:paraId="63BD1454" w14:textId="77777777" w:rsidR="004D17D0" w:rsidRDefault="004D17D0">
            <w:pPr>
              <w:jc w:val="center"/>
            </w:pPr>
          </w:p>
        </w:tc>
      </w:tr>
      <w:tr w:rsidR="004D17D0" w14:paraId="79171992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12583D5F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Leadership</w:t>
            </w:r>
          </w:p>
        </w:tc>
        <w:tc>
          <w:tcPr>
            <w:tcW w:w="2520" w:type="dxa"/>
            <w:vAlign w:val="center"/>
          </w:tcPr>
          <w:p w14:paraId="5E373323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06B1A673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684B505C" w14:textId="77777777" w:rsidR="004D17D0" w:rsidRDefault="004D17D0">
            <w:pPr>
              <w:jc w:val="center"/>
            </w:pPr>
          </w:p>
        </w:tc>
        <w:tc>
          <w:tcPr>
            <w:tcW w:w="2664" w:type="dxa"/>
            <w:shd w:val="clear" w:color="auto" w:fill="FFF2CC"/>
            <w:vAlign w:val="center"/>
          </w:tcPr>
          <w:p w14:paraId="2C56B74F" w14:textId="77777777" w:rsidR="004D17D0" w:rsidRDefault="00000000">
            <w:pPr>
              <w:jc w:val="center"/>
            </w:pPr>
            <w:r>
              <w:rPr>
                <w:sz w:val="14"/>
              </w:rPr>
              <w:t>TBD - Fall 2026 Artifact</w:t>
            </w:r>
          </w:p>
        </w:tc>
        <w:tc>
          <w:tcPr>
            <w:tcW w:w="2520" w:type="dxa"/>
            <w:vAlign w:val="center"/>
          </w:tcPr>
          <w:p w14:paraId="15C31C08" w14:textId="77777777" w:rsidR="004D17D0" w:rsidRDefault="004D17D0">
            <w:pPr>
              <w:jc w:val="center"/>
            </w:pPr>
          </w:p>
        </w:tc>
      </w:tr>
      <w:tr w:rsidR="004D17D0" w14:paraId="7061C623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063CFEDD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Reflection on Practice</w:t>
            </w:r>
          </w:p>
        </w:tc>
        <w:tc>
          <w:tcPr>
            <w:tcW w:w="2520" w:type="dxa"/>
            <w:vAlign w:val="center"/>
          </w:tcPr>
          <w:p w14:paraId="6D0A0B52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35613AFB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6E208220" w14:textId="77777777" w:rsidR="004D17D0" w:rsidRDefault="004D17D0">
            <w:pPr>
              <w:jc w:val="center"/>
            </w:pPr>
          </w:p>
        </w:tc>
        <w:tc>
          <w:tcPr>
            <w:tcW w:w="2664" w:type="dxa"/>
            <w:vAlign w:val="center"/>
          </w:tcPr>
          <w:p w14:paraId="702D08BF" w14:textId="77777777" w:rsidR="004D17D0" w:rsidRDefault="00000000">
            <w:pPr>
              <w:jc w:val="center"/>
            </w:pPr>
            <w:r>
              <w:rPr>
                <w:sz w:val="14"/>
              </w:rPr>
              <w:t>Pink Collar Learning Co. / Molly Mix Project Reflection</w:t>
            </w:r>
            <w:r>
              <w:rPr>
                <w:sz w:val="14"/>
              </w:rPr>
              <w:br/>
              <w:t>LSTE 71303</w:t>
            </w:r>
          </w:p>
        </w:tc>
        <w:tc>
          <w:tcPr>
            <w:tcW w:w="2520" w:type="dxa"/>
            <w:vAlign w:val="center"/>
          </w:tcPr>
          <w:p w14:paraId="0AB582A6" w14:textId="77777777" w:rsidR="004D17D0" w:rsidRDefault="004D17D0">
            <w:pPr>
              <w:jc w:val="center"/>
            </w:pPr>
          </w:p>
        </w:tc>
      </w:tr>
      <w:tr w:rsidR="004D17D0" w14:paraId="4ADB97F8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71FB1084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Theoretical Foundations</w:t>
            </w:r>
          </w:p>
        </w:tc>
        <w:tc>
          <w:tcPr>
            <w:tcW w:w="2520" w:type="dxa"/>
            <w:vAlign w:val="center"/>
          </w:tcPr>
          <w:p w14:paraId="47B5960F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1C4A8BE7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2E5D736" w14:textId="77777777" w:rsidR="004D17D0" w:rsidRDefault="004D17D0">
            <w:pPr>
              <w:jc w:val="center"/>
            </w:pPr>
          </w:p>
        </w:tc>
        <w:tc>
          <w:tcPr>
            <w:tcW w:w="2664" w:type="dxa"/>
            <w:vAlign w:val="center"/>
          </w:tcPr>
          <w:p w14:paraId="767E1897" w14:textId="77777777" w:rsidR="004D17D0" w:rsidRDefault="004D17D0">
            <w:pPr>
              <w:jc w:val="center"/>
            </w:pPr>
          </w:p>
        </w:tc>
        <w:tc>
          <w:tcPr>
            <w:tcW w:w="2520" w:type="dxa"/>
            <w:shd w:val="clear" w:color="auto" w:fill="FFF2CC"/>
            <w:vAlign w:val="center"/>
          </w:tcPr>
          <w:p w14:paraId="5E82614C" w14:textId="77777777" w:rsidR="004D17D0" w:rsidRDefault="00000000">
            <w:pPr>
              <w:jc w:val="center"/>
            </w:pPr>
            <w:r>
              <w:rPr>
                <w:sz w:val="14"/>
              </w:rPr>
              <w:t>TBD - Fall 2026 Artifact</w:t>
            </w:r>
          </w:p>
        </w:tc>
      </w:tr>
      <w:tr w:rsidR="004D17D0" w14:paraId="635AD98A" w14:textId="77777777">
        <w:trPr>
          <w:jc w:val="center"/>
        </w:trPr>
        <w:tc>
          <w:tcPr>
            <w:tcW w:w="1944" w:type="dxa"/>
            <w:shd w:val="clear" w:color="auto" w:fill="F2F2F2"/>
            <w:vAlign w:val="center"/>
          </w:tcPr>
          <w:p w14:paraId="6561EC7E" w14:textId="77777777" w:rsidR="004D17D0" w:rsidRDefault="00000000">
            <w:pPr>
              <w:jc w:val="center"/>
            </w:pPr>
            <w:r>
              <w:rPr>
                <w:b/>
                <w:sz w:val="14"/>
              </w:rPr>
              <w:t>Method</w:t>
            </w:r>
          </w:p>
        </w:tc>
        <w:tc>
          <w:tcPr>
            <w:tcW w:w="2520" w:type="dxa"/>
            <w:vAlign w:val="center"/>
          </w:tcPr>
          <w:p w14:paraId="78BA9116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285CE7BD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0F3302F9" w14:textId="77777777" w:rsidR="004D17D0" w:rsidRDefault="004D17D0">
            <w:pPr>
              <w:jc w:val="center"/>
            </w:pPr>
          </w:p>
        </w:tc>
        <w:tc>
          <w:tcPr>
            <w:tcW w:w="2664" w:type="dxa"/>
            <w:vAlign w:val="center"/>
          </w:tcPr>
          <w:p w14:paraId="3305BE9C" w14:textId="77777777" w:rsidR="004D17D0" w:rsidRDefault="004D17D0">
            <w:pPr>
              <w:jc w:val="center"/>
            </w:pPr>
          </w:p>
        </w:tc>
        <w:tc>
          <w:tcPr>
            <w:tcW w:w="2520" w:type="dxa"/>
            <w:vAlign w:val="center"/>
          </w:tcPr>
          <w:p w14:paraId="7E6E2A54" w14:textId="77777777" w:rsidR="004D17D0" w:rsidRDefault="00000000">
            <w:pPr>
              <w:jc w:val="center"/>
            </w:pPr>
            <w:r>
              <w:rPr>
                <w:sz w:val="14"/>
              </w:rPr>
              <w:t>Evaluating Educational Research / Article Critique</w:t>
            </w:r>
            <w:r>
              <w:rPr>
                <w:sz w:val="14"/>
              </w:rPr>
              <w:br/>
              <w:t>EDFN 70303</w:t>
            </w:r>
          </w:p>
        </w:tc>
      </w:tr>
    </w:tbl>
    <w:p w14:paraId="2F587B18" w14:textId="77777777" w:rsidR="004D17D0" w:rsidRDefault="004D17D0"/>
    <w:p w14:paraId="70771A23" w14:textId="77777777" w:rsidR="004D17D0" w:rsidRDefault="00000000">
      <w:pPr>
        <w:spacing w:before="60"/>
      </w:pPr>
      <w:r>
        <w:rPr>
          <w:b/>
          <w:sz w:val="16"/>
        </w:rPr>
        <w:t xml:space="preserve">Working note: </w:t>
      </w:r>
      <w:r>
        <w:rPr>
          <w:sz w:val="16"/>
        </w:rPr>
        <w:t>Leadership and Theoretical Foundations remain intentionally marked TBD until a Fall 2026 artifact from LSTE 71503 and/or LSTE 72903 provides defensible evidence. Remove all TBD labels before final submission.</w:t>
      </w:r>
    </w:p>
    <w:p w14:paraId="2432A96D" w14:textId="77777777" w:rsidR="004D17D0" w:rsidRDefault="00000000">
      <w:pPr>
        <w:spacing w:before="40"/>
      </w:pPr>
      <w:r>
        <w:rPr>
          <w:b/>
          <w:sz w:val="16"/>
        </w:rPr>
        <w:t xml:space="preserve">Course coverage plan: </w:t>
      </w:r>
      <w:r>
        <w:rPr>
          <w:sz w:val="16"/>
        </w:rPr>
        <w:t>LSTE 70303, 71103, 71303, 71703, plus Fall 2026 LSTE 71503 and LSTE 72903; EDFN 70303 and EDFN 77003.</w:t>
      </w:r>
    </w:p>
    <w:sectPr w:rsidR="004D17D0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0006677">
    <w:abstractNumId w:val="8"/>
  </w:num>
  <w:num w:numId="2" w16cid:durableId="1250231669">
    <w:abstractNumId w:val="6"/>
  </w:num>
  <w:num w:numId="3" w16cid:durableId="489295774">
    <w:abstractNumId w:val="5"/>
  </w:num>
  <w:num w:numId="4" w16cid:durableId="42991856">
    <w:abstractNumId w:val="4"/>
  </w:num>
  <w:num w:numId="5" w16cid:durableId="1912889647">
    <w:abstractNumId w:val="7"/>
  </w:num>
  <w:num w:numId="6" w16cid:durableId="208804040">
    <w:abstractNumId w:val="3"/>
  </w:num>
  <w:num w:numId="7" w16cid:durableId="1525242951">
    <w:abstractNumId w:val="2"/>
  </w:num>
  <w:num w:numId="8" w16cid:durableId="1742407819">
    <w:abstractNumId w:val="1"/>
  </w:num>
  <w:num w:numId="9" w16cid:durableId="1473326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D17D0"/>
    <w:rsid w:val="00A272C4"/>
    <w:rsid w:val="00AA1D8D"/>
    <w:rsid w:val="00B47730"/>
    <w:rsid w:val="00CB0664"/>
    <w:rsid w:val="00F536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D7ADC"/>
  <w14:defaultImageDpi w14:val="300"/>
  <w15:docId w15:val="{84B48EDD-0AC2-D449-BAE3-8ED8442E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Carrie Howard</cp:lastModifiedBy>
  <cp:revision>2</cp:revision>
  <dcterms:created xsi:type="dcterms:W3CDTF">2026-08-23T00:22:00Z</dcterms:created>
  <dcterms:modified xsi:type="dcterms:W3CDTF">2026-08-23T00:22:00Z</dcterms:modified>
  <cp:category/>
</cp:coreProperties>
</file>